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F5C6B3A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společnost</w:t>
      </w:r>
      <w:r w:rsidR="001F27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7B5">
        <w:rPr>
          <w:rFonts w:asciiTheme="minorHAnsi" w:hAnsiTheme="minorHAnsi" w:cstheme="minorHAnsi"/>
          <w:sz w:val="22"/>
          <w:szCs w:val="22"/>
        </w:rPr>
        <w:t>WeDeer</w:t>
      </w:r>
      <w:proofErr w:type="spellEnd"/>
    </w:p>
    <w:p w14:paraId="7A78C0D0" w14:textId="5D6BB61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37C2DB03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205BA3">
        <w:rPr>
          <w:rFonts w:asciiTheme="minorHAnsi" w:hAnsiTheme="minorHAnsi" w:cstheme="minorHAnsi"/>
          <w:sz w:val="22"/>
          <w:szCs w:val="22"/>
        </w:rPr>
        <w:t xml:space="preserve"> www.wedeer.cz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6789EF7A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Pro poskytová</w:t>
      </w:r>
      <w:r w:rsidR="00205BA3">
        <w:rPr>
          <w:rFonts w:asciiTheme="minorHAnsi" w:hAnsiTheme="minorHAnsi" w:cstheme="minorHAnsi"/>
          <w:color w:val="000000" w:themeColor="text1"/>
          <w:sz w:val="22"/>
          <w:szCs w:val="22"/>
        </w:rPr>
        <w:t>ní prodeje zboží</w:t>
      </w:r>
      <w:r w:rsidR="00411A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184C5C18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606FB5">
        <w:rPr>
          <w:rFonts w:asciiTheme="minorHAnsi" w:hAnsiTheme="minorHAnsi" w:cstheme="minorHAnsi"/>
          <w:color w:val="000000" w:themeColor="text1"/>
        </w:rPr>
        <w:t xml:space="preserve"> Jméno a příjmení, email</w:t>
      </w:r>
      <w:r w:rsidR="00287071">
        <w:rPr>
          <w:rFonts w:asciiTheme="minorHAnsi" w:hAnsiTheme="minorHAnsi" w:cstheme="minorHAnsi"/>
          <w:color w:val="000000" w:themeColor="text1"/>
        </w:rPr>
        <w:t>ová adresa.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743F28D3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</w:t>
      </w:r>
      <w:r w:rsidR="00287071">
        <w:rPr>
          <w:rFonts w:asciiTheme="minorHAnsi" w:hAnsiTheme="minorHAnsi" w:cstheme="minorHAnsi"/>
          <w:color w:val="000000" w:themeColor="text1"/>
        </w:rPr>
        <w:t xml:space="preserve"> zboží.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7A0FB4F3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</w:t>
      </w:r>
      <w:r w:rsidR="007D1B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rok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7F914" w14:textId="1ABE5996" w:rsidR="00D24488" w:rsidRPr="00503081" w:rsidRDefault="00F25B6B" w:rsidP="009F497F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03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503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</w:t>
      </w:r>
      <w:r w:rsidR="00503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upu</w:t>
      </w:r>
    </w:p>
    <w:p w14:paraId="1F2556CC" w14:textId="02D19AB7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EF0C7C">
        <w:rPr>
          <w:rFonts w:asciiTheme="minorHAnsi" w:hAnsiTheme="minorHAnsi" w:cstheme="minorHAnsi"/>
          <w:color w:val="000000" w:themeColor="text1"/>
        </w:rPr>
        <w:t>emailová adresa</w:t>
      </w:r>
      <w:r w:rsidR="003D1024">
        <w:rPr>
          <w:rFonts w:asciiTheme="minorHAnsi" w:hAnsiTheme="minorHAnsi" w:cstheme="minorHAnsi"/>
          <w:color w:val="000000" w:themeColor="text1"/>
        </w:rPr>
        <w:t>, telefonní číslo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EA11DA7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>dodali vám naše</w:t>
      </w:r>
      <w:r w:rsidR="003D1024">
        <w:rPr>
          <w:rFonts w:asciiTheme="minorHAnsi" w:hAnsiTheme="minorHAnsi" w:cstheme="minorHAnsi"/>
          <w:color w:val="000000" w:themeColor="text1"/>
        </w:rPr>
        <w:t xml:space="preserve"> zboží.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07AA9A16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</w:t>
      </w:r>
      <w:r w:rsidR="00FE4A8E">
        <w:rPr>
          <w:rFonts w:asciiTheme="minorHAnsi" w:hAnsiTheme="minorHAnsi" w:cstheme="minorHAnsi"/>
          <w:color w:val="000000" w:themeColor="text1"/>
        </w:rPr>
        <w:t>a jiné)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B6EEEA7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</w:t>
      </w:r>
      <w:r w:rsidR="00FE4A8E">
        <w:rPr>
          <w:rFonts w:asciiTheme="minorHAnsi" w:hAnsiTheme="minorHAnsi" w:cstheme="minorHAnsi"/>
          <w:color w:val="000000" w:themeColor="text1"/>
          <w:sz w:val="22"/>
          <w:szCs w:val="22"/>
        </w:rPr>
        <w:t>té 10 let o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6F1D12DA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4E040E">
        <w:rPr>
          <w:rFonts w:asciiTheme="minorHAnsi" w:hAnsiTheme="minorHAnsi" w:cstheme="minorHAnsi"/>
          <w:color w:val="000000" w:themeColor="text1"/>
        </w:rPr>
        <w:t xml:space="preserve"> p</w:t>
      </w:r>
      <w:r w:rsidR="00E60711">
        <w:rPr>
          <w:rFonts w:asciiTheme="minorHAnsi" w:hAnsiTheme="minorHAnsi" w:cstheme="minorHAnsi"/>
          <w:color w:val="000000" w:themeColor="text1"/>
        </w:rPr>
        <w:t>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52CF107" w:rsidR="009E0509" w:rsidRDefault="00CB0FD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10 l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2EDC">
        <w:rPr>
          <w:rFonts w:asciiTheme="minorHAnsi" w:hAnsiTheme="minorHAnsi" w:cstheme="minorHAnsi"/>
          <w:color w:val="000000" w:themeColor="text1"/>
          <w:sz w:val="22"/>
          <w:szCs w:val="22"/>
        </w:rPr>
        <w:t>wedeer@seznam.cz</w:t>
      </w:r>
    </w:p>
    <w:p w14:paraId="2137F940" w14:textId="77777777" w:rsidR="00E45035" w:rsidRPr="001A33CF" w:rsidRDefault="00E45035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provozovatel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e-shopové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6F44AB94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</w:t>
      </w:r>
      <w:r w:rsidR="00870B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 w:rsidR="00870B4A">
        <w:rPr>
          <w:rFonts w:asciiTheme="minorHAnsi" w:hAnsiTheme="minorHAnsi" w:cstheme="minorHAnsi"/>
          <w:color w:val="000000" w:themeColor="text1"/>
          <w:sz w:val="22"/>
          <w:szCs w:val="22"/>
        </w:rPr>
        <w:t>Zásilkovna</w:t>
      </w:r>
      <w:proofErr w:type="spellEnd"/>
    </w:p>
    <w:p w14:paraId="59638E4E" w14:textId="603B8CB6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plateb</w:t>
      </w:r>
      <w:r w:rsidR="00870B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 w:rsidR="00870B4A">
        <w:rPr>
          <w:rFonts w:asciiTheme="minorHAnsi" w:hAnsiTheme="minorHAnsi" w:cstheme="minorHAnsi"/>
          <w:color w:val="000000" w:themeColor="text1"/>
          <w:sz w:val="22"/>
          <w:szCs w:val="22"/>
        </w:rPr>
        <w:t>Shoptetpay</w:t>
      </w:r>
      <w:proofErr w:type="spellEnd"/>
    </w:p>
    <w:p w14:paraId="5D68B728" w14:textId="1AD66420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</w:t>
      </w:r>
      <w:proofErr w:type="spellStart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e-mailingové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služby</w:t>
      </w:r>
      <w:r w:rsidR="00DB0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377440">
        <w:rPr>
          <w:rFonts w:asciiTheme="minorHAnsi" w:hAnsiTheme="minorHAnsi" w:cstheme="minorHAnsi"/>
          <w:color w:val="000000" w:themeColor="text1"/>
          <w:sz w:val="22"/>
          <w:szCs w:val="22"/>
        </w:rPr>
        <w:t>Seznam</w:t>
      </w:r>
    </w:p>
    <w:p w14:paraId="37E6229C" w14:textId="14A2919B" w:rsidR="00C47B60" w:rsidRPr="00DB0D62" w:rsidRDefault="009241C7" w:rsidP="00DB0D62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marketingová agentura</w:t>
      </w:r>
      <w:r w:rsidR="00DB0D62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</w:p>
    <w:p w14:paraId="77473E4F" w14:textId="0B760AD5" w:rsidR="00377ADD" w:rsidRPr="00A0134C" w:rsidRDefault="00C47B60" w:rsidP="00A0134C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  <w:r w:rsidR="00A0134C">
        <w:rPr>
          <w:rFonts w:asciiTheme="minorHAnsi" w:hAnsiTheme="minorHAnsi" w:cstheme="minorHAnsi"/>
          <w:color w:val="000000" w:themeColor="text1"/>
        </w:rPr>
        <w:t xml:space="preserve"> /</w:t>
      </w:r>
    </w:p>
    <w:p w14:paraId="55773E51" w14:textId="7C27F448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</w:t>
      </w:r>
      <w:r w:rsidR="003625E8">
        <w:t>e 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00844958" w:rsidR="00466381" w:rsidRDefault="00466381" w:rsidP="00466381">
      <w:pPr>
        <w:ind w:left="426"/>
      </w:pPr>
      <w:r>
        <w:t>V naší společnosti</w:t>
      </w:r>
      <w:r w:rsidR="005D5FC1">
        <w:t xml:space="preserve"> nemáme </w:t>
      </w:r>
      <w:r w:rsidR="00D658AB">
        <w:t>jmenovaného</w:t>
      </w:r>
      <w:r>
        <w:t xml:space="preserve">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121FC007" w:rsidR="007340B9" w:rsidRDefault="007340B9" w:rsidP="00466381">
      <w:pPr>
        <w:ind w:left="426"/>
      </w:pPr>
      <w:r>
        <w:t xml:space="preserve">V naší společnosti </w:t>
      </w:r>
      <w:r w:rsidR="00D658AB">
        <w:t xml:space="preserve">nedochází k </w:t>
      </w:r>
      <w:r w:rsidR="00254215">
        <w:t xml:space="preserve">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33B6CC15" w:rsidR="00466381" w:rsidRPr="004646F9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</w:t>
      </w:r>
      <w:r w:rsidR="004646F9">
        <w:rPr>
          <w:rFonts w:asciiTheme="minorHAnsi" w:hAnsiTheme="minorHAnsi" w:cstheme="minorHAnsi"/>
          <w:color w:val="000000" w:themeColor="text1"/>
        </w:rPr>
        <w:t xml:space="preserve"> </w:t>
      </w:r>
      <w:r w:rsidR="004646F9">
        <w:rPr>
          <w:rFonts w:asciiTheme="minorHAnsi" w:hAnsiTheme="minorHAnsi" w:cstheme="minorHAnsi"/>
          <w:b/>
          <w:bCs/>
          <w:color w:val="000000" w:themeColor="text1"/>
        </w:rPr>
        <w:t>wedeer@seznam.cz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070"/>
        <w:gridCol w:w="4604"/>
        <w:gridCol w:w="1906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431B075B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commentRangeStart w:id="1"/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  <w:commentRangeEnd w:id="1"/>
            <w:r w:rsidRPr="00143DF6">
              <w:rPr>
                <w:rStyle w:val="Odkaznakoment"/>
                <w:sz w:val="22"/>
                <w:szCs w:val="22"/>
              </w:rPr>
              <w:commentReference w:id="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6F9FA8F7" w:rsidR="001C70AE" w:rsidRPr="00143DF6" w:rsidRDefault="008822CA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</w:rPr>
              <w:t>analytics</w:t>
            </w:r>
            <w:proofErr w:type="spellEnd"/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454BF" w14:textId="61AA5989" w:rsidR="00BD1321" w:rsidRDefault="008822CA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BD1321">
              <w:rPr>
                <w:rFonts w:eastAsia="Times New Roman"/>
                <w:color w:val="000000"/>
              </w:rPr>
              <w:t>Nezbytné cookies pro fungování stránek</w:t>
            </w:r>
            <w:r w:rsidR="00152553">
              <w:rPr>
                <w:rFonts w:eastAsia="Times New Roman"/>
                <w:color w:val="000000"/>
              </w:rPr>
              <w:t>.</w:t>
            </w:r>
          </w:p>
          <w:p w14:paraId="466F75B4" w14:textId="77777777" w:rsidR="001C70AE" w:rsidRDefault="008822CA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Marketingové </w:t>
            </w:r>
            <w:r w:rsidR="00BD1321">
              <w:rPr>
                <w:rFonts w:eastAsia="Times New Roman"/>
                <w:color w:val="000000"/>
              </w:rPr>
              <w:t>cookies</w:t>
            </w:r>
            <w:r w:rsidR="00152553">
              <w:rPr>
                <w:rFonts w:eastAsia="Times New Roman"/>
                <w:color w:val="000000"/>
              </w:rPr>
              <w:t xml:space="preserve"> pro relevantní obsah a reklamy.</w:t>
            </w:r>
          </w:p>
          <w:p w14:paraId="63548ED9" w14:textId="2ECEEFB1" w:rsidR="00152553" w:rsidRPr="00143DF6" w:rsidRDefault="00152553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Analytické cookies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397CA474" w:rsidR="001C70AE" w:rsidRPr="00143DF6" w:rsidRDefault="00E25BE9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Relační/Permanentní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>Souhlas může být vyjádřen prostřednictvím zaškrtávacího políčka obsaženého v tzv. cookie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55048CC2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Tyto podmínky jsou účinné o</w:t>
      </w:r>
      <w:r w:rsidR="002F2259">
        <w:rPr>
          <w:rFonts w:asciiTheme="minorHAnsi" w:hAnsiTheme="minorHAnsi" w:cstheme="minorHAnsi"/>
          <w:color w:val="000000" w:themeColor="text1"/>
        </w:rPr>
        <w:t>d 8.8.2023</w:t>
      </w:r>
      <w:r w:rsidR="003625E8">
        <w:rPr>
          <w:rFonts w:asciiTheme="minorHAnsi" w:hAnsiTheme="minorHAnsi" w:cstheme="minorHAnsi"/>
          <w:color w:val="000000" w:themeColor="text1"/>
        </w:rPr>
        <w:t xml:space="preserve"> . 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094F5C72" w14:textId="79817278" w:rsidR="001C70AE" w:rsidRDefault="001C70AE">
      <w:pPr>
        <w:pStyle w:val="Textkomente"/>
      </w:pPr>
      <w:r>
        <w:rPr>
          <w:rStyle w:val="Odkaznakoment"/>
        </w:rPr>
        <w:annotationRef/>
      </w:r>
      <w:r>
        <w:t xml:space="preserve">Doporučujeme doplnit alespoň některé základní soubory cookies (včetně uvedení vydavatele, např. Google Analytics, účelu a doby uložení), které používáte, příp. např. reklamní cookies či cookies třetích stran. Pro úplnost upozorňujeme, že jako provozovatel webové stránky </w:t>
      </w:r>
      <w:r w:rsidR="008748C8">
        <w:t>jste povinni mít přehled a vést seznam všech souborů cookies, které na svých webových stránkách používáte.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0"/>
  <w15:commentEx w15:paraId="094F5C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094F5C72" w16cid:durableId="2562E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2143" w14:textId="77777777" w:rsidR="009B58E3" w:rsidRDefault="009B58E3" w:rsidP="00966C62">
      <w:r>
        <w:separator/>
      </w:r>
    </w:p>
  </w:endnote>
  <w:endnote w:type="continuationSeparator" w:id="0">
    <w:p w14:paraId="06098E58" w14:textId="77777777" w:rsidR="009B58E3" w:rsidRDefault="009B58E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5115" w14:textId="77777777" w:rsidR="009B58E3" w:rsidRDefault="009B58E3" w:rsidP="00966C62">
      <w:r>
        <w:separator/>
      </w:r>
    </w:p>
  </w:footnote>
  <w:footnote w:type="continuationSeparator" w:id="0">
    <w:p w14:paraId="74E99A64" w14:textId="77777777" w:rsidR="009B58E3" w:rsidRDefault="009B58E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28845">
    <w:abstractNumId w:val="12"/>
  </w:num>
  <w:num w:numId="2" w16cid:durableId="642850155">
    <w:abstractNumId w:val="6"/>
  </w:num>
  <w:num w:numId="3" w16cid:durableId="714307904">
    <w:abstractNumId w:val="8"/>
  </w:num>
  <w:num w:numId="4" w16cid:durableId="1645695071">
    <w:abstractNumId w:val="0"/>
  </w:num>
  <w:num w:numId="5" w16cid:durableId="895627427">
    <w:abstractNumId w:val="17"/>
  </w:num>
  <w:num w:numId="6" w16cid:durableId="164781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606916">
    <w:abstractNumId w:val="14"/>
  </w:num>
  <w:num w:numId="8" w16cid:durableId="1415711944">
    <w:abstractNumId w:val="20"/>
  </w:num>
  <w:num w:numId="9" w16cid:durableId="2113351437">
    <w:abstractNumId w:val="4"/>
  </w:num>
  <w:num w:numId="10" w16cid:durableId="974600159">
    <w:abstractNumId w:val="11"/>
  </w:num>
  <w:num w:numId="11" w16cid:durableId="1503468292">
    <w:abstractNumId w:val="5"/>
  </w:num>
  <w:num w:numId="12" w16cid:durableId="1366835721">
    <w:abstractNumId w:val="19"/>
  </w:num>
  <w:num w:numId="13" w16cid:durableId="2138327966">
    <w:abstractNumId w:val="13"/>
  </w:num>
  <w:num w:numId="14" w16cid:durableId="2132436271">
    <w:abstractNumId w:val="18"/>
  </w:num>
  <w:num w:numId="15" w16cid:durableId="372390952">
    <w:abstractNumId w:val="7"/>
  </w:num>
  <w:num w:numId="16" w16cid:durableId="1695493898">
    <w:abstractNumId w:val="10"/>
  </w:num>
  <w:num w:numId="17" w16cid:durableId="1940020244">
    <w:abstractNumId w:val="9"/>
  </w:num>
  <w:num w:numId="18" w16cid:durableId="1894777037">
    <w:abstractNumId w:val="21"/>
  </w:num>
  <w:num w:numId="19" w16cid:durableId="417360945">
    <w:abstractNumId w:val="2"/>
  </w:num>
  <w:num w:numId="20" w16cid:durableId="1938781257">
    <w:abstractNumId w:val="15"/>
  </w:num>
  <w:num w:numId="21" w16cid:durableId="750126890">
    <w:abstractNumId w:val="1"/>
  </w:num>
  <w:num w:numId="22" w16cid:durableId="1500803263">
    <w:abstractNumId w:val="16"/>
  </w:num>
  <w:num w:numId="23" w16cid:durableId="157419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5255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27B5"/>
    <w:rsid w:val="001F3813"/>
    <w:rsid w:val="001F4175"/>
    <w:rsid w:val="001F4FAD"/>
    <w:rsid w:val="0020526B"/>
    <w:rsid w:val="0020545D"/>
    <w:rsid w:val="002055E4"/>
    <w:rsid w:val="00205BA3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87071"/>
    <w:rsid w:val="0029149C"/>
    <w:rsid w:val="00294444"/>
    <w:rsid w:val="0029585B"/>
    <w:rsid w:val="002A7375"/>
    <w:rsid w:val="002A7B87"/>
    <w:rsid w:val="002B252B"/>
    <w:rsid w:val="002B5829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2259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25E8"/>
    <w:rsid w:val="00365E0E"/>
    <w:rsid w:val="00366601"/>
    <w:rsid w:val="003673A6"/>
    <w:rsid w:val="00374511"/>
    <w:rsid w:val="0037475A"/>
    <w:rsid w:val="00377440"/>
    <w:rsid w:val="00377ADD"/>
    <w:rsid w:val="00380ABD"/>
    <w:rsid w:val="003871CD"/>
    <w:rsid w:val="003876D2"/>
    <w:rsid w:val="003905F7"/>
    <w:rsid w:val="00393494"/>
    <w:rsid w:val="00395276"/>
    <w:rsid w:val="00395D4C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024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1A99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2B65"/>
    <w:rsid w:val="004530DA"/>
    <w:rsid w:val="00456FE0"/>
    <w:rsid w:val="004610A8"/>
    <w:rsid w:val="00462D08"/>
    <w:rsid w:val="004646F9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040E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081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5FC1"/>
    <w:rsid w:val="005D7631"/>
    <w:rsid w:val="005E0852"/>
    <w:rsid w:val="005E1229"/>
    <w:rsid w:val="005F27F5"/>
    <w:rsid w:val="00606FB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0BF0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1B54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0B4A"/>
    <w:rsid w:val="008748C8"/>
    <w:rsid w:val="00876F18"/>
    <w:rsid w:val="008822CA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134C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3F9F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1321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B0FD0"/>
    <w:rsid w:val="00CC0C6B"/>
    <w:rsid w:val="00CC4447"/>
    <w:rsid w:val="00CC660A"/>
    <w:rsid w:val="00CC78D7"/>
    <w:rsid w:val="00CD2EDC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58AB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0D62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25BE9"/>
    <w:rsid w:val="00E32A61"/>
    <w:rsid w:val="00E348C3"/>
    <w:rsid w:val="00E360FE"/>
    <w:rsid w:val="00E45035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EF0C7C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4A8E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www.w3.org/2000/xmlns/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1136de7-710f-45b1-96fb-10950912829b"/>
    <ds:schemaRef ds:uri="887c2191-336d-49b7-88a2-14f3f5399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2023-08-09T18:21:00Z</dcterms:created>
  <dcterms:modified xsi:type="dcterms:W3CDTF">2023-08-09T18:21:00Z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